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6E866057" w:rsidP="6CC325E2" w:rsidRDefault="6E866057" w14:paraId="07DFEFF4" w14:textId="149A2A3D">
      <w:pPr>
        <w:spacing w:after="160" w:line="259" w:lineRule="auto"/>
        <w:rPr>
          <w:rFonts w:ascii="Work Sans" w:hAnsi="Work Sans" w:eastAsia="Work Sans" w:cs="Work Sans"/>
          <w:b w:val="0"/>
          <w:bCs w:val="0"/>
          <w:i w:val="0"/>
          <w:iCs w:val="0"/>
          <w:caps w:val="0"/>
          <w:smallCaps w:val="0"/>
          <w:noProof w:val="0"/>
          <w:color w:val="FF0000"/>
          <w:sz w:val="52"/>
          <w:szCs w:val="52"/>
          <w:lang w:val="en-AU"/>
        </w:rPr>
      </w:pPr>
      <w:r w:rsidRPr="6CC325E2" w:rsidR="6E866057">
        <w:rPr>
          <w:rFonts w:ascii="Work Sans" w:hAnsi="Work Sans" w:eastAsia="Work Sans" w:cs="Work Sans"/>
          <w:b w:val="0"/>
          <w:bCs w:val="0"/>
          <w:i w:val="0"/>
          <w:iCs w:val="0"/>
          <w:caps w:val="0"/>
          <w:smallCaps w:val="0"/>
          <w:noProof w:val="0"/>
          <w:color w:val="000000" w:themeColor="text1" w:themeTint="FF" w:themeShade="FF"/>
          <w:sz w:val="52"/>
          <w:szCs w:val="52"/>
          <w:lang w:val="en-AU"/>
        </w:rPr>
        <w:t xml:space="preserve">Responding to vicarious trauma at </w:t>
      </w:r>
      <w:r w:rsidRPr="6CC325E2" w:rsidR="6E866057">
        <w:rPr>
          <w:rFonts w:ascii="Work Sans" w:hAnsi="Work Sans" w:eastAsia="Work Sans" w:cs="Work Sans"/>
          <w:b w:val="0"/>
          <w:bCs w:val="0"/>
          <w:i w:val="0"/>
          <w:iCs w:val="0"/>
          <w:caps w:val="0"/>
          <w:smallCaps w:val="0"/>
          <w:noProof w:val="0"/>
          <w:color w:val="FF0000"/>
          <w:sz w:val="52"/>
          <w:szCs w:val="52"/>
          <w:lang w:val="en-AU"/>
        </w:rPr>
        <w:t>&lt;insert name of organisation&gt;</w:t>
      </w:r>
    </w:p>
    <w:p w:rsidR="6E866057" w:rsidP="6CC325E2" w:rsidRDefault="6E866057" w14:paraId="78413C6A" w14:textId="6C77102B">
      <w:pPr>
        <w:spacing w:after="160" w:line="259" w:lineRule="auto"/>
        <w:rPr>
          <w:rFonts w:ascii="Work Sans" w:hAnsi="Work Sans" w:eastAsia="Work Sans" w:cs="Work Sans"/>
          <w:b w:val="0"/>
          <w:bCs w:val="0"/>
          <w:i w:val="0"/>
          <w:iCs w:val="0"/>
          <w:caps w:val="0"/>
          <w:smallCaps w:val="0"/>
          <w:noProof w:val="0"/>
          <w:color w:val="000000" w:themeColor="text1" w:themeTint="FF" w:themeShade="FF"/>
          <w:sz w:val="24"/>
          <w:szCs w:val="24"/>
          <w:lang w:val="en-AU"/>
        </w:rPr>
      </w:pPr>
      <w:r w:rsidRPr="6CC325E2" w:rsidR="6E866057">
        <w:rPr>
          <w:rFonts w:ascii="Work Sans" w:hAnsi="Work Sans" w:eastAsia="Work Sans" w:cs="Work Sans"/>
          <w:b w:val="0"/>
          <w:bCs w:val="0"/>
          <w:i w:val="0"/>
          <w:iCs w:val="0"/>
          <w:caps w:val="0"/>
          <w:smallCaps w:val="0"/>
          <w:noProof w:val="0"/>
          <w:color w:val="FF0000"/>
          <w:sz w:val="24"/>
          <w:szCs w:val="24"/>
          <w:lang w:val="en-AU"/>
        </w:rPr>
        <w:t xml:space="preserve">&lt;Organisation name&gt; </w:t>
      </w:r>
      <w:r w:rsidRPr="6CC325E2" w:rsidR="6E866057">
        <w:rPr>
          <w:rFonts w:ascii="Work Sans" w:hAnsi="Work Sans" w:eastAsia="Work Sans" w:cs="Work Sans"/>
          <w:b w:val="0"/>
          <w:bCs w:val="0"/>
          <w:i w:val="0"/>
          <w:iCs w:val="0"/>
          <w:caps w:val="0"/>
          <w:smallCaps w:val="0"/>
          <w:noProof w:val="0"/>
          <w:color w:val="000000" w:themeColor="text1" w:themeTint="FF" w:themeShade="FF"/>
          <w:sz w:val="24"/>
          <w:szCs w:val="24"/>
          <w:lang w:val="en-AU"/>
        </w:rPr>
        <w:t>acknowledges that vicarious trauma can be experienced by people in archives and memory institutions and that resources and support are needed. Recognition of vicarious trauma is an action the archival profession can take to make archives safer for all, and is one component of enacting trauma-informed archival practice.</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6960"/>
        <w:gridCol w:w="6960"/>
      </w:tblGrid>
      <w:tr w:rsidR="6CC325E2" w:rsidTr="6CC325E2" w14:paraId="1D75C697">
        <w:trPr>
          <w:trHeight w:val="300"/>
        </w:trPr>
        <w:tc>
          <w:tcPr>
            <w:tcW w:w="6960" w:type="dxa"/>
            <w:tcBorders>
              <w:top w:val="single" w:color="008D97" w:sz="6"/>
              <w:left w:val="single" w:color="008D97" w:sz="6"/>
              <w:bottom w:val="single" w:color="008D97" w:sz="6"/>
              <w:right w:val="single" w:color="008D97" w:sz="6"/>
            </w:tcBorders>
            <w:tcMar>
              <w:left w:w="105" w:type="dxa"/>
              <w:right w:w="105" w:type="dxa"/>
            </w:tcMar>
            <w:vAlign w:val="top"/>
          </w:tcPr>
          <w:p w:rsidR="6CC325E2" w:rsidP="6CC325E2" w:rsidRDefault="6CC325E2" w14:paraId="3AE8A793" w14:textId="0091FEBA">
            <w:pPr>
              <w:spacing w:line="259" w:lineRule="auto"/>
              <w:rPr>
                <w:rFonts w:ascii="Work Sans" w:hAnsi="Work Sans" w:eastAsia="Work Sans" w:cs="Work Sans"/>
                <w:b w:val="0"/>
                <w:bCs w:val="0"/>
                <w:i w:val="0"/>
                <w:iCs w:val="0"/>
                <w:color w:val="008D97"/>
                <w:sz w:val="24"/>
                <w:szCs w:val="24"/>
              </w:rPr>
            </w:pPr>
            <w:r w:rsidRPr="6CC325E2" w:rsidR="6CC325E2">
              <w:rPr>
                <w:rFonts w:ascii="Work Sans" w:hAnsi="Work Sans" w:eastAsia="Work Sans" w:cs="Work Sans"/>
                <w:b w:val="1"/>
                <w:bCs w:val="1"/>
                <w:i w:val="0"/>
                <w:iCs w:val="0"/>
                <w:color w:val="008D97"/>
                <w:sz w:val="24"/>
                <w:szCs w:val="24"/>
                <w:lang w:val="en-AU"/>
              </w:rPr>
              <w:t>What is vicarious trauma?</w:t>
            </w:r>
          </w:p>
          <w:p w:rsidR="6CC325E2" w:rsidP="6CC325E2" w:rsidRDefault="6CC325E2" w14:paraId="4B732DF7" w14:textId="78744982">
            <w:pPr>
              <w:spacing w:line="259" w:lineRule="auto"/>
              <w:rPr>
                <w:rFonts w:ascii="Work Sans" w:hAnsi="Work Sans" w:eastAsia="Work Sans" w:cs="Work Sans"/>
                <w:b w:val="0"/>
                <w:bCs w:val="0"/>
                <w:i w:val="0"/>
                <w:iCs w:val="0"/>
                <w:sz w:val="24"/>
                <w:szCs w:val="24"/>
              </w:rPr>
            </w:pPr>
          </w:p>
          <w:p w:rsidR="6CC325E2" w:rsidP="6CC325E2" w:rsidRDefault="6CC325E2" w14:paraId="5CD1B4A4" w14:textId="2D89AFA4">
            <w:pPr>
              <w:spacing w:after="160" w:line="259" w:lineRule="auto"/>
              <w:rPr>
                <w:rFonts w:ascii="Work Sans" w:hAnsi="Work Sans" w:eastAsia="Work Sans" w:cs="Work Sans"/>
                <w:b w:val="0"/>
                <w:bCs w:val="0"/>
                <w:i w:val="0"/>
                <w:iCs w:val="0"/>
                <w:sz w:val="24"/>
                <w:szCs w:val="24"/>
              </w:rPr>
            </w:pPr>
            <w:r w:rsidRPr="6CC325E2" w:rsidR="6CC325E2">
              <w:rPr>
                <w:rFonts w:ascii="Work Sans" w:hAnsi="Work Sans" w:eastAsia="Work Sans" w:cs="Work Sans"/>
                <w:b w:val="0"/>
                <w:bCs w:val="0"/>
                <w:i w:val="0"/>
                <w:iCs w:val="0"/>
                <w:sz w:val="24"/>
                <w:szCs w:val="24"/>
                <w:lang w:val="en-AU"/>
              </w:rPr>
              <w:t>Vicarious trauma, also known as secondary trauma, is trauma you experience as a result of reading or viewing traumatic or distressing material; or through witnessing the trauma reactions of others. It can have the same effect of the trauma experienced through a direct event that happens to you.</w:t>
            </w:r>
          </w:p>
          <w:p w:rsidR="6CC325E2" w:rsidP="6CC325E2" w:rsidRDefault="6CC325E2" w14:paraId="08244FD3" w14:textId="498A866E">
            <w:pPr>
              <w:spacing w:after="160" w:line="259" w:lineRule="auto"/>
              <w:rPr>
                <w:rFonts w:ascii="Work Sans" w:hAnsi="Work Sans" w:eastAsia="Work Sans" w:cs="Work Sans"/>
                <w:b w:val="0"/>
                <w:bCs w:val="0"/>
                <w:i w:val="0"/>
                <w:iCs w:val="0"/>
                <w:sz w:val="24"/>
                <w:szCs w:val="24"/>
              </w:rPr>
            </w:pPr>
            <w:r w:rsidRPr="6CC325E2" w:rsidR="6CC325E2">
              <w:rPr>
                <w:rFonts w:ascii="Work Sans" w:hAnsi="Work Sans" w:eastAsia="Work Sans" w:cs="Work Sans"/>
                <w:b w:val="0"/>
                <w:bCs w:val="0"/>
                <w:i w:val="0"/>
                <w:iCs w:val="0"/>
                <w:sz w:val="24"/>
                <w:szCs w:val="24"/>
                <w:lang w:val="en-AU"/>
              </w:rPr>
              <w:t xml:space="preserve">It is an expected response to dealing with difficult materials and situations, particularly on an ongoing basis. </w:t>
            </w:r>
          </w:p>
          <w:p w:rsidR="6CC325E2" w:rsidP="6CC325E2" w:rsidRDefault="6CC325E2" w14:paraId="55E5F291" w14:textId="44D14A18">
            <w:pPr>
              <w:spacing w:after="160" w:line="259" w:lineRule="auto"/>
              <w:rPr>
                <w:rFonts w:ascii="Work Sans" w:hAnsi="Work Sans" w:eastAsia="Work Sans" w:cs="Work Sans"/>
                <w:b w:val="0"/>
                <w:bCs w:val="0"/>
                <w:i w:val="0"/>
                <w:iCs w:val="0"/>
                <w:sz w:val="24"/>
                <w:szCs w:val="24"/>
              </w:rPr>
            </w:pPr>
            <w:r w:rsidRPr="6CC325E2" w:rsidR="6CC325E2">
              <w:rPr>
                <w:rFonts w:ascii="Work Sans" w:hAnsi="Work Sans" w:eastAsia="Work Sans" w:cs="Work Sans"/>
                <w:b w:val="0"/>
                <w:bCs w:val="0"/>
                <w:i w:val="0"/>
                <w:iCs w:val="0"/>
                <w:sz w:val="24"/>
                <w:szCs w:val="24"/>
                <w:lang w:val="en-AU"/>
              </w:rPr>
              <w:t xml:space="preserve">Everyone will experience vicarious trauma differently, and some won’t experience it at all. </w:t>
            </w:r>
          </w:p>
        </w:tc>
        <w:tc>
          <w:tcPr>
            <w:tcW w:w="6960" w:type="dxa"/>
            <w:tcBorders>
              <w:top w:val="single" w:color="008D97" w:sz="6"/>
              <w:left w:val="single" w:color="008D97" w:sz="6"/>
              <w:bottom w:val="single" w:color="008D97" w:sz="6"/>
              <w:right w:val="single" w:color="008D97" w:sz="6"/>
            </w:tcBorders>
            <w:tcMar>
              <w:left w:w="105" w:type="dxa"/>
              <w:right w:w="105" w:type="dxa"/>
            </w:tcMar>
            <w:vAlign w:val="top"/>
          </w:tcPr>
          <w:p w:rsidR="6CC325E2" w:rsidP="6CC325E2" w:rsidRDefault="6CC325E2" w14:paraId="3DED5E9D" w14:textId="70F37F15">
            <w:pPr>
              <w:spacing w:line="259" w:lineRule="auto"/>
              <w:rPr>
                <w:rFonts w:ascii="Work Sans" w:hAnsi="Work Sans" w:eastAsia="Work Sans" w:cs="Work Sans"/>
                <w:b w:val="0"/>
                <w:bCs w:val="0"/>
                <w:i w:val="0"/>
                <w:iCs w:val="0"/>
                <w:color w:val="008D97"/>
                <w:sz w:val="24"/>
                <w:szCs w:val="24"/>
              </w:rPr>
            </w:pPr>
            <w:r w:rsidRPr="6CC325E2" w:rsidR="6CC325E2">
              <w:rPr>
                <w:rFonts w:ascii="Work Sans" w:hAnsi="Work Sans" w:eastAsia="Work Sans" w:cs="Work Sans"/>
                <w:b w:val="1"/>
                <w:bCs w:val="1"/>
                <w:i w:val="0"/>
                <w:iCs w:val="0"/>
                <w:color w:val="008D97"/>
                <w:sz w:val="24"/>
                <w:szCs w:val="24"/>
                <w:lang w:val="en-AU"/>
              </w:rPr>
              <w:t>Who can experience it?</w:t>
            </w:r>
          </w:p>
          <w:p w:rsidR="6CC325E2" w:rsidP="6CC325E2" w:rsidRDefault="6CC325E2" w14:paraId="6F09D7BC" w14:textId="32967791">
            <w:pPr>
              <w:spacing w:line="259" w:lineRule="auto"/>
              <w:rPr>
                <w:rFonts w:ascii="Work Sans" w:hAnsi="Work Sans" w:eastAsia="Work Sans" w:cs="Work Sans"/>
                <w:b w:val="0"/>
                <w:bCs w:val="0"/>
                <w:i w:val="0"/>
                <w:iCs w:val="0"/>
                <w:sz w:val="24"/>
                <w:szCs w:val="24"/>
              </w:rPr>
            </w:pPr>
          </w:p>
          <w:p w:rsidR="6CC325E2" w:rsidP="6CC325E2" w:rsidRDefault="6CC325E2" w14:paraId="7981CC13" w14:textId="551F269B">
            <w:pPr>
              <w:spacing w:line="259" w:lineRule="auto"/>
              <w:rPr>
                <w:rFonts w:ascii="Work Sans" w:hAnsi="Work Sans" w:eastAsia="Work Sans" w:cs="Work Sans"/>
                <w:b w:val="0"/>
                <w:bCs w:val="0"/>
                <w:i w:val="0"/>
                <w:iCs w:val="0"/>
                <w:sz w:val="24"/>
                <w:szCs w:val="24"/>
              </w:rPr>
            </w:pPr>
            <w:r w:rsidRPr="6CC325E2" w:rsidR="6CC325E2">
              <w:rPr>
                <w:rFonts w:ascii="Work Sans" w:hAnsi="Work Sans" w:eastAsia="Work Sans" w:cs="Work Sans"/>
                <w:b w:val="0"/>
                <w:bCs w:val="0"/>
                <w:i w:val="0"/>
                <w:iCs w:val="0"/>
                <w:sz w:val="24"/>
                <w:szCs w:val="24"/>
                <w:lang w:val="en-AU"/>
              </w:rPr>
              <w:t xml:space="preserve">Anyone – staff, clients and researchers, members of the public, visitors, volunteers, donors, students, and anyone else associated with archives. </w:t>
            </w:r>
          </w:p>
          <w:p w:rsidR="6CC325E2" w:rsidP="6CC325E2" w:rsidRDefault="6CC325E2" w14:paraId="0058FA08" w14:textId="7937C1DE">
            <w:pPr>
              <w:spacing w:line="259" w:lineRule="auto"/>
              <w:rPr>
                <w:rFonts w:ascii="Work Sans" w:hAnsi="Work Sans" w:eastAsia="Work Sans" w:cs="Work Sans"/>
                <w:b w:val="0"/>
                <w:bCs w:val="0"/>
                <w:i w:val="0"/>
                <w:iCs w:val="0"/>
                <w:sz w:val="24"/>
                <w:szCs w:val="24"/>
              </w:rPr>
            </w:pPr>
          </w:p>
          <w:p w:rsidR="6CC325E2" w:rsidP="6CC325E2" w:rsidRDefault="6CC325E2" w14:paraId="02D66127" w14:textId="0DB5664E">
            <w:pPr>
              <w:spacing w:line="259" w:lineRule="auto"/>
              <w:rPr>
                <w:rFonts w:ascii="Work Sans" w:hAnsi="Work Sans" w:eastAsia="Work Sans" w:cs="Work Sans"/>
                <w:b w:val="0"/>
                <w:bCs w:val="0"/>
                <w:i w:val="0"/>
                <w:iCs w:val="0"/>
                <w:sz w:val="24"/>
                <w:szCs w:val="24"/>
              </w:rPr>
            </w:pPr>
            <w:r w:rsidRPr="6CC325E2" w:rsidR="6CC325E2">
              <w:rPr>
                <w:rFonts w:ascii="Work Sans" w:hAnsi="Work Sans" w:eastAsia="Work Sans" w:cs="Work Sans"/>
                <w:b w:val="0"/>
                <w:bCs w:val="0"/>
                <w:i w:val="0"/>
                <w:iCs w:val="0"/>
                <w:sz w:val="24"/>
                <w:szCs w:val="24"/>
                <w:lang w:val="en-AU"/>
              </w:rPr>
              <w:t xml:space="preserve">People who are constantly exposed to difficult materials and situations are at higher risk. Vicarious trauma is cumulative, so the more you are exposed, the more likely you are to experience symptoms. </w:t>
            </w:r>
          </w:p>
          <w:p w:rsidR="6CC325E2" w:rsidP="6CC325E2" w:rsidRDefault="6CC325E2" w14:paraId="095A4314" w14:textId="1BDAAAC0">
            <w:pPr>
              <w:spacing w:line="259" w:lineRule="auto"/>
              <w:rPr>
                <w:rFonts w:ascii="Work Sans" w:hAnsi="Work Sans" w:eastAsia="Work Sans" w:cs="Work Sans"/>
                <w:b w:val="0"/>
                <w:bCs w:val="0"/>
                <w:i w:val="0"/>
                <w:iCs w:val="0"/>
                <w:sz w:val="24"/>
                <w:szCs w:val="24"/>
              </w:rPr>
            </w:pPr>
          </w:p>
          <w:p w:rsidR="6CC325E2" w:rsidP="6CC325E2" w:rsidRDefault="6CC325E2" w14:paraId="27C21CD4" w14:textId="0246BBFC">
            <w:pPr>
              <w:spacing w:line="259" w:lineRule="auto"/>
              <w:rPr>
                <w:rFonts w:ascii="Work Sans" w:hAnsi="Work Sans" w:eastAsia="Work Sans" w:cs="Work Sans"/>
                <w:b w:val="0"/>
                <w:bCs w:val="0"/>
                <w:i w:val="0"/>
                <w:iCs w:val="0"/>
                <w:sz w:val="24"/>
                <w:szCs w:val="24"/>
              </w:rPr>
            </w:pPr>
            <w:r w:rsidRPr="6CC325E2" w:rsidR="6CC325E2">
              <w:rPr>
                <w:rFonts w:ascii="Work Sans" w:hAnsi="Work Sans" w:eastAsia="Work Sans" w:cs="Work Sans"/>
                <w:b w:val="0"/>
                <w:bCs w:val="0"/>
                <w:i w:val="0"/>
                <w:iCs w:val="0"/>
                <w:sz w:val="24"/>
                <w:szCs w:val="24"/>
                <w:lang w:val="en-AU"/>
              </w:rPr>
              <w:t xml:space="preserve">Specific record types are known to cause distress, but anyone can find anything traumatic. </w:t>
            </w:r>
          </w:p>
        </w:tc>
      </w:tr>
      <w:tr w:rsidR="6CC325E2" w:rsidTr="6CC325E2" w14:paraId="685D8C32">
        <w:trPr>
          <w:trHeight w:val="300"/>
        </w:trPr>
        <w:tc>
          <w:tcPr>
            <w:tcW w:w="6960" w:type="dxa"/>
            <w:tcBorders>
              <w:top w:val="single" w:color="008D97" w:sz="6"/>
              <w:left w:val="single" w:color="008D97" w:sz="6"/>
              <w:bottom w:val="single" w:color="008D97" w:sz="6"/>
              <w:right w:val="single" w:color="008D97" w:sz="6"/>
            </w:tcBorders>
            <w:tcMar>
              <w:left w:w="105" w:type="dxa"/>
              <w:right w:w="105" w:type="dxa"/>
            </w:tcMar>
            <w:vAlign w:val="top"/>
          </w:tcPr>
          <w:p w:rsidR="6CC325E2" w:rsidP="6CC325E2" w:rsidRDefault="6CC325E2" w14:paraId="4F31538E" w14:textId="2C80E16B">
            <w:pPr>
              <w:spacing w:line="259" w:lineRule="auto"/>
              <w:rPr>
                <w:rFonts w:ascii="Work Sans" w:hAnsi="Work Sans" w:eastAsia="Work Sans" w:cs="Work Sans"/>
                <w:b w:val="0"/>
                <w:bCs w:val="0"/>
                <w:i w:val="0"/>
                <w:iCs w:val="0"/>
                <w:color w:val="008D97"/>
                <w:sz w:val="24"/>
                <w:szCs w:val="24"/>
              </w:rPr>
            </w:pPr>
            <w:r w:rsidRPr="6CC325E2" w:rsidR="6CC325E2">
              <w:rPr>
                <w:rFonts w:ascii="Work Sans" w:hAnsi="Work Sans" w:eastAsia="Work Sans" w:cs="Work Sans"/>
                <w:b w:val="1"/>
                <w:bCs w:val="1"/>
                <w:i w:val="0"/>
                <w:iCs w:val="0"/>
                <w:color w:val="008D97"/>
                <w:sz w:val="24"/>
                <w:szCs w:val="24"/>
                <w:lang w:val="en-AU"/>
              </w:rPr>
              <w:t>What are the effects of vicarious trauma?</w:t>
            </w:r>
          </w:p>
          <w:p w:rsidR="6CC325E2" w:rsidP="6CC325E2" w:rsidRDefault="6CC325E2" w14:paraId="6C73D530" w14:textId="7778D8BB">
            <w:pPr>
              <w:spacing w:line="259" w:lineRule="auto"/>
              <w:rPr>
                <w:rFonts w:ascii="Work Sans" w:hAnsi="Work Sans" w:eastAsia="Work Sans" w:cs="Work Sans"/>
                <w:b w:val="0"/>
                <w:bCs w:val="0"/>
                <w:i w:val="0"/>
                <w:iCs w:val="0"/>
                <w:sz w:val="24"/>
                <w:szCs w:val="24"/>
              </w:rPr>
            </w:pPr>
          </w:p>
          <w:p w:rsidR="6CC325E2" w:rsidP="6CC325E2" w:rsidRDefault="6CC325E2" w14:paraId="6A405ED2" w14:textId="7F4B19E5">
            <w:pPr>
              <w:spacing w:after="160" w:line="259" w:lineRule="auto"/>
              <w:rPr>
                <w:rFonts w:ascii="Work Sans" w:hAnsi="Work Sans" w:eastAsia="Work Sans" w:cs="Work Sans"/>
                <w:b w:val="0"/>
                <w:bCs w:val="0"/>
                <w:i w:val="0"/>
                <w:iCs w:val="0"/>
                <w:sz w:val="24"/>
                <w:szCs w:val="24"/>
              </w:rPr>
            </w:pPr>
            <w:r w:rsidRPr="6CC325E2" w:rsidR="6CC325E2">
              <w:rPr>
                <w:rFonts w:ascii="Work Sans" w:hAnsi="Work Sans" w:eastAsia="Work Sans" w:cs="Work Sans"/>
                <w:b w:val="0"/>
                <w:bCs w:val="0"/>
                <w:i w:val="0"/>
                <w:iCs w:val="0"/>
                <w:sz w:val="24"/>
                <w:szCs w:val="24"/>
                <w:lang w:val="en-AU"/>
              </w:rPr>
              <w:t xml:space="preserve">Vicarious trauma can affect all areas of your life, from personal relationships, to life outlook, and ability to undertake work. </w:t>
            </w:r>
          </w:p>
          <w:p w:rsidR="6CC325E2" w:rsidP="6CC325E2" w:rsidRDefault="6CC325E2" w14:paraId="2F7BE076" w14:textId="0F4CECA6">
            <w:pPr>
              <w:spacing w:after="160" w:line="259" w:lineRule="auto"/>
              <w:rPr>
                <w:rFonts w:ascii="Work Sans" w:hAnsi="Work Sans" w:eastAsia="Work Sans" w:cs="Work Sans"/>
                <w:b w:val="0"/>
                <w:bCs w:val="0"/>
                <w:i w:val="0"/>
                <w:iCs w:val="0"/>
                <w:sz w:val="24"/>
                <w:szCs w:val="24"/>
              </w:rPr>
            </w:pPr>
            <w:r w:rsidRPr="6CC325E2" w:rsidR="6CC325E2">
              <w:rPr>
                <w:rFonts w:ascii="Work Sans" w:hAnsi="Work Sans" w:eastAsia="Work Sans" w:cs="Work Sans"/>
                <w:b w:val="0"/>
                <w:bCs w:val="0"/>
                <w:i w:val="0"/>
                <w:iCs w:val="0"/>
                <w:sz w:val="24"/>
                <w:szCs w:val="24"/>
                <w:lang w:val="en-AU"/>
              </w:rPr>
              <w:t xml:space="preserve">Everyone is affected differently and may experience some or multiple symptoms which may include physical, cognitive, emotional, behavioural or spiritual changes. </w:t>
            </w:r>
          </w:p>
          <w:p w:rsidR="6CC325E2" w:rsidP="6CC325E2" w:rsidRDefault="6CC325E2" w14:paraId="3383A729" w14:textId="5BF8B88E">
            <w:pPr>
              <w:spacing w:after="160" w:line="259" w:lineRule="auto"/>
              <w:rPr>
                <w:rFonts w:ascii="Work Sans" w:hAnsi="Work Sans" w:eastAsia="Work Sans" w:cs="Work Sans"/>
                <w:b w:val="0"/>
                <w:bCs w:val="0"/>
                <w:i w:val="0"/>
                <w:iCs w:val="0"/>
                <w:sz w:val="24"/>
                <w:szCs w:val="24"/>
              </w:rPr>
            </w:pPr>
            <w:r w:rsidRPr="6CC325E2" w:rsidR="6CC325E2">
              <w:rPr>
                <w:rFonts w:ascii="Work Sans" w:hAnsi="Work Sans" w:eastAsia="Work Sans" w:cs="Work Sans"/>
                <w:b w:val="0"/>
                <w:bCs w:val="0"/>
                <w:i w:val="0"/>
                <w:iCs w:val="0"/>
                <w:sz w:val="24"/>
                <w:szCs w:val="24"/>
                <w:lang w:val="en-AU"/>
              </w:rPr>
              <w:t xml:space="preserve">Sometimes, others around you will notice that you are affected before you do. </w:t>
            </w:r>
          </w:p>
        </w:tc>
        <w:tc>
          <w:tcPr>
            <w:tcW w:w="6960" w:type="dxa"/>
            <w:tcBorders>
              <w:top w:val="single" w:color="008D97" w:sz="6"/>
              <w:left w:val="single" w:color="008D97" w:sz="6"/>
              <w:bottom w:val="single" w:color="008D97" w:sz="6"/>
              <w:right w:val="single" w:color="008D97" w:sz="6"/>
            </w:tcBorders>
            <w:tcMar>
              <w:left w:w="105" w:type="dxa"/>
              <w:right w:w="105" w:type="dxa"/>
            </w:tcMar>
            <w:vAlign w:val="top"/>
          </w:tcPr>
          <w:p w:rsidR="6CC325E2" w:rsidP="6CC325E2" w:rsidRDefault="6CC325E2" w14:paraId="3CB709AB" w14:textId="1B2F0687">
            <w:pPr>
              <w:spacing w:line="259" w:lineRule="auto"/>
              <w:rPr>
                <w:rFonts w:ascii="Work Sans" w:hAnsi="Work Sans" w:eastAsia="Work Sans" w:cs="Work Sans"/>
                <w:b w:val="0"/>
                <w:bCs w:val="0"/>
                <w:i w:val="0"/>
                <w:iCs w:val="0"/>
                <w:color w:val="008D97"/>
                <w:sz w:val="24"/>
                <w:szCs w:val="24"/>
              </w:rPr>
            </w:pPr>
            <w:r w:rsidRPr="6CC325E2" w:rsidR="6CC325E2">
              <w:rPr>
                <w:rFonts w:ascii="Work Sans" w:hAnsi="Work Sans" w:eastAsia="Work Sans" w:cs="Work Sans"/>
                <w:b w:val="1"/>
                <w:bCs w:val="1"/>
                <w:i w:val="0"/>
                <w:iCs w:val="0"/>
                <w:color w:val="008D97"/>
                <w:sz w:val="24"/>
                <w:szCs w:val="24"/>
                <w:lang w:val="en-AU"/>
              </w:rPr>
              <w:t>What can be done to minimise vicarious trauma in archives?</w:t>
            </w:r>
          </w:p>
          <w:p w:rsidR="6CC325E2" w:rsidP="6CC325E2" w:rsidRDefault="6CC325E2" w14:paraId="2B8C91BC" w14:textId="58C17BC0">
            <w:pPr>
              <w:spacing w:line="259" w:lineRule="auto"/>
              <w:rPr>
                <w:rFonts w:ascii="Work Sans" w:hAnsi="Work Sans" w:eastAsia="Work Sans" w:cs="Work Sans"/>
                <w:b w:val="0"/>
                <w:bCs w:val="0"/>
                <w:i w:val="0"/>
                <w:iCs w:val="0"/>
                <w:sz w:val="24"/>
                <w:szCs w:val="24"/>
              </w:rPr>
            </w:pPr>
          </w:p>
          <w:p w:rsidR="6CC325E2" w:rsidP="6CC325E2" w:rsidRDefault="6CC325E2" w14:paraId="2CF2BD4F" w14:textId="50B19C32">
            <w:pPr>
              <w:spacing w:after="160" w:line="259" w:lineRule="auto"/>
              <w:rPr>
                <w:rFonts w:ascii="Work Sans" w:hAnsi="Work Sans" w:eastAsia="Work Sans" w:cs="Work Sans"/>
                <w:b w:val="0"/>
                <w:bCs w:val="0"/>
                <w:i w:val="0"/>
                <w:iCs w:val="0"/>
                <w:sz w:val="24"/>
                <w:szCs w:val="24"/>
              </w:rPr>
            </w:pPr>
            <w:r w:rsidRPr="6CC325E2" w:rsidR="6CC325E2">
              <w:rPr>
                <w:rFonts w:ascii="Work Sans" w:hAnsi="Work Sans" w:eastAsia="Work Sans" w:cs="Work Sans"/>
                <w:b w:val="0"/>
                <w:bCs w:val="0"/>
                <w:i w:val="0"/>
                <w:iCs w:val="0"/>
                <w:sz w:val="24"/>
                <w:szCs w:val="24"/>
                <w:lang w:val="en-AU"/>
              </w:rPr>
              <w:t xml:space="preserve">Raising awareness of these issues is an important first step, as is normalising discussions of vicarious trauma, mental health and self-care. Build time for this into regular meetings and staff induction. </w:t>
            </w:r>
          </w:p>
          <w:p w:rsidR="6CC325E2" w:rsidP="6CC325E2" w:rsidRDefault="6CC325E2" w14:paraId="1E5B687B" w14:textId="353A9910">
            <w:pPr>
              <w:spacing w:after="160" w:line="259" w:lineRule="auto"/>
              <w:rPr>
                <w:rFonts w:ascii="Work Sans" w:hAnsi="Work Sans" w:eastAsia="Work Sans" w:cs="Work Sans"/>
                <w:b w:val="0"/>
                <w:bCs w:val="0"/>
                <w:i w:val="0"/>
                <w:iCs w:val="0"/>
                <w:sz w:val="24"/>
                <w:szCs w:val="24"/>
              </w:rPr>
            </w:pPr>
            <w:r w:rsidRPr="6CC325E2" w:rsidR="6CC325E2">
              <w:rPr>
                <w:rFonts w:ascii="Work Sans" w:hAnsi="Work Sans" w:eastAsia="Work Sans" w:cs="Work Sans"/>
                <w:b w:val="0"/>
                <w:bCs w:val="0"/>
                <w:i w:val="0"/>
                <w:iCs w:val="0"/>
                <w:sz w:val="24"/>
                <w:szCs w:val="24"/>
                <w:lang w:val="en-AU"/>
              </w:rPr>
              <w:t>Undertake training in vicarious trauma, trauma-informed practice and mental health. Individuals will find different support helpful, so flexible responses are imperative, and it is important to establish a self-care plan in advance.</w:t>
            </w:r>
          </w:p>
        </w:tc>
      </w:tr>
      <w:tr w:rsidR="6CC325E2" w:rsidTr="6CC325E2" w14:paraId="1ABBC7DF">
        <w:trPr>
          <w:trHeight w:val="300"/>
        </w:trPr>
        <w:tc>
          <w:tcPr>
            <w:tcW w:w="6960" w:type="dxa"/>
            <w:tcBorders>
              <w:top w:val="single" w:color="008D97" w:sz="6"/>
              <w:left w:val="single" w:color="008D97" w:sz="6"/>
              <w:bottom w:val="single" w:color="008D97" w:sz="6"/>
              <w:right w:val="single" w:color="008D97" w:sz="6"/>
            </w:tcBorders>
            <w:tcMar>
              <w:left w:w="105" w:type="dxa"/>
              <w:right w:w="105" w:type="dxa"/>
            </w:tcMar>
            <w:vAlign w:val="top"/>
          </w:tcPr>
          <w:p w:rsidR="6CC325E2" w:rsidP="6CC325E2" w:rsidRDefault="6CC325E2" w14:paraId="2B44BB2F" w14:textId="0DE966F9">
            <w:pPr>
              <w:spacing w:line="259" w:lineRule="auto"/>
              <w:rPr>
                <w:rFonts w:ascii="Work Sans" w:hAnsi="Work Sans" w:eastAsia="Work Sans" w:cs="Work Sans"/>
                <w:b w:val="0"/>
                <w:bCs w:val="0"/>
                <w:i w:val="0"/>
                <w:iCs w:val="0"/>
                <w:color w:val="008D97"/>
                <w:sz w:val="24"/>
                <w:szCs w:val="24"/>
              </w:rPr>
            </w:pPr>
            <w:r w:rsidRPr="6CC325E2" w:rsidR="6CC325E2">
              <w:rPr>
                <w:rFonts w:ascii="Work Sans" w:hAnsi="Work Sans" w:eastAsia="Work Sans" w:cs="Work Sans"/>
                <w:b w:val="1"/>
                <w:bCs w:val="1"/>
                <w:i w:val="0"/>
                <w:iCs w:val="0"/>
                <w:color w:val="008D97"/>
                <w:sz w:val="24"/>
                <w:szCs w:val="24"/>
                <w:lang w:val="en-AU"/>
              </w:rPr>
              <w:t xml:space="preserve">What can you do if you are affected in the moment? </w:t>
            </w:r>
          </w:p>
          <w:p w:rsidR="6CC325E2" w:rsidP="6CC325E2" w:rsidRDefault="6CC325E2" w14:paraId="19629317" w14:textId="785B2FF3">
            <w:pPr>
              <w:spacing w:line="259" w:lineRule="auto"/>
              <w:rPr>
                <w:rFonts w:ascii="Work Sans" w:hAnsi="Work Sans" w:eastAsia="Work Sans" w:cs="Work Sans"/>
                <w:b w:val="0"/>
                <w:bCs w:val="0"/>
                <w:i w:val="0"/>
                <w:iCs w:val="0"/>
                <w:sz w:val="24"/>
                <w:szCs w:val="24"/>
              </w:rPr>
            </w:pPr>
          </w:p>
          <w:p w:rsidR="6CC325E2" w:rsidP="6CC325E2" w:rsidRDefault="6CC325E2" w14:paraId="571298AD" w14:textId="4978B92C">
            <w:pPr>
              <w:spacing w:line="259" w:lineRule="auto"/>
              <w:rPr>
                <w:rFonts w:ascii="Work Sans" w:hAnsi="Work Sans" w:eastAsia="Work Sans" w:cs="Work Sans"/>
                <w:b w:val="0"/>
                <w:bCs w:val="0"/>
                <w:i w:val="0"/>
                <w:iCs w:val="0"/>
                <w:sz w:val="24"/>
                <w:szCs w:val="24"/>
              </w:rPr>
            </w:pPr>
            <w:r w:rsidRPr="6CC325E2" w:rsidR="6CC325E2">
              <w:rPr>
                <w:rFonts w:ascii="Work Sans" w:hAnsi="Work Sans" w:eastAsia="Work Sans" w:cs="Work Sans"/>
                <w:b w:val="0"/>
                <w:bCs w:val="0"/>
                <w:i w:val="0"/>
                <w:iCs w:val="0"/>
                <w:sz w:val="24"/>
                <w:szCs w:val="24"/>
                <w:lang w:val="en-AU"/>
              </w:rPr>
              <w:t xml:space="preserve">Some strategies that you might find effective are listed here. </w:t>
            </w:r>
          </w:p>
          <w:p w:rsidR="6CC325E2" w:rsidP="6CC325E2" w:rsidRDefault="6CC325E2" w14:paraId="12C3B01C" w14:textId="37E0C393">
            <w:pPr>
              <w:pStyle w:val="ListParagraph"/>
              <w:numPr>
                <w:ilvl w:val="0"/>
                <w:numId w:val="11"/>
              </w:numPr>
              <w:spacing w:line="259" w:lineRule="auto"/>
              <w:ind w:left="317" w:hanging="284"/>
              <w:rPr>
                <w:rFonts w:ascii="Work Sans" w:hAnsi="Work Sans" w:eastAsia="Work Sans" w:cs="Work Sans"/>
                <w:b w:val="0"/>
                <w:bCs w:val="0"/>
                <w:i w:val="0"/>
                <w:iCs w:val="0"/>
                <w:sz w:val="24"/>
                <w:szCs w:val="24"/>
              </w:rPr>
            </w:pPr>
            <w:r w:rsidRPr="6CC325E2" w:rsidR="6CC325E2">
              <w:rPr>
                <w:rFonts w:ascii="Work Sans" w:hAnsi="Work Sans" w:eastAsia="Work Sans" w:cs="Work Sans"/>
                <w:b w:val="0"/>
                <w:bCs w:val="0"/>
                <w:i w:val="0"/>
                <w:iCs w:val="0"/>
                <w:sz w:val="24"/>
                <w:szCs w:val="24"/>
                <w:lang w:val="en-AU"/>
              </w:rPr>
              <w:t>Techniques to bring you back into the moment, for example:</w:t>
            </w:r>
          </w:p>
          <w:p w:rsidR="6CC325E2" w:rsidP="6CC325E2" w:rsidRDefault="6CC325E2" w14:paraId="7C846138" w14:textId="62FB24F0">
            <w:pPr>
              <w:pStyle w:val="ListParagraph"/>
              <w:numPr>
                <w:ilvl w:val="1"/>
                <w:numId w:val="11"/>
              </w:numPr>
              <w:spacing w:line="259" w:lineRule="auto"/>
              <w:ind w:left="742" w:hanging="284"/>
              <w:rPr>
                <w:rFonts w:ascii="Work Sans" w:hAnsi="Work Sans" w:eastAsia="Work Sans" w:cs="Work Sans"/>
                <w:b w:val="0"/>
                <w:bCs w:val="0"/>
                <w:i w:val="0"/>
                <w:iCs w:val="0"/>
                <w:sz w:val="24"/>
                <w:szCs w:val="24"/>
              </w:rPr>
            </w:pPr>
            <w:r w:rsidRPr="6CC325E2" w:rsidR="6CC325E2">
              <w:rPr>
                <w:rFonts w:ascii="Work Sans" w:hAnsi="Work Sans" w:eastAsia="Work Sans" w:cs="Work Sans"/>
                <w:b w:val="0"/>
                <w:bCs w:val="0"/>
                <w:i w:val="0"/>
                <w:iCs w:val="0"/>
                <w:sz w:val="24"/>
                <w:szCs w:val="24"/>
                <w:lang w:val="en-AU"/>
              </w:rPr>
              <w:t>Using the 5 senses to ground yourself, e.g. listing 5 things you can see, 4 things you can hear, and so on</w:t>
            </w:r>
          </w:p>
          <w:p w:rsidR="6CC325E2" w:rsidP="6CC325E2" w:rsidRDefault="6CC325E2" w14:paraId="5D6F2469" w14:textId="637F9F31">
            <w:pPr>
              <w:pStyle w:val="ListParagraph"/>
              <w:numPr>
                <w:ilvl w:val="1"/>
                <w:numId w:val="11"/>
              </w:numPr>
              <w:spacing w:line="259" w:lineRule="auto"/>
              <w:ind w:left="742" w:hanging="284"/>
              <w:rPr>
                <w:rFonts w:ascii="Work Sans" w:hAnsi="Work Sans" w:eastAsia="Work Sans" w:cs="Work Sans"/>
                <w:b w:val="0"/>
                <w:bCs w:val="0"/>
                <w:i w:val="0"/>
                <w:iCs w:val="0"/>
                <w:sz w:val="24"/>
                <w:szCs w:val="24"/>
              </w:rPr>
            </w:pPr>
            <w:r w:rsidRPr="6CC325E2" w:rsidR="6CC325E2">
              <w:rPr>
                <w:rFonts w:ascii="Work Sans" w:hAnsi="Work Sans" w:eastAsia="Work Sans" w:cs="Work Sans"/>
                <w:b w:val="0"/>
                <w:bCs w:val="0"/>
                <w:i w:val="0"/>
                <w:iCs w:val="0"/>
                <w:sz w:val="24"/>
                <w:szCs w:val="24"/>
                <w:lang w:val="en-AU"/>
              </w:rPr>
              <w:t>Taking long and slow breaths, breathing in through your nose and out through your mouth</w:t>
            </w:r>
          </w:p>
          <w:p w:rsidR="6CC325E2" w:rsidP="6CC325E2" w:rsidRDefault="6CC325E2" w14:paraId="64CC94ED" w14:textId="153E640A">
            <w:pPr>
              <w:pStyle w:val="ListParagraph"/>
              <w:numPr>
                <w:ilvl w:val="0"/>
                <w:numId w:val="11"/>
              </w:numPr>
              <w:spacing w:line="259" w:lineRule="auto"/>
              <w:ind w:left="317" w:hanging="284"/>
              <w:rPr>
                <w:rFonts w:ascii="Work Sans" w:hAnsi="Work Sans" w:eastAsia="Work Sans" w:cs="Work Sans"/>
                <w:b w:val="0"/>
                <w:bCs w:val="0"/>
                <w:i w:val="0"/>
                <w:iCs w:val="0"/>
                <w:sz w:val="24"/>
                <w:szCs w:val="24"/>
              </w:rPr>
            </w:pPr>
            <w:r w:rsidRPr="6CC325E2" w:rsidR="6CC325E2">
              <w:rPr>
                <w:rFonts w:ascii="Work Sans" w:hAnsi="Work Sans" w:eastAsia="Work Sans" w:cs="Work Sans"/>
                <w:b w:val="0"/>
                <w:bCs w:val="0"/>
                <w:i w:val="0"/>
                <w:iCs w:val="0"/>
                <w:sz w:val="24"/>
                <w:szCs w:val="24"/>
                <w:lang w:val="en-AU"/>
              </w:rPr>
              <w:t>Leave the environment and go for a walk</w:t>
            </w:r>
          </w:p>
          <w:p w:rsidR="6CC325E2" w:rsidP="6CC325E2" w:rsidRDefault="6CC325E2" w14:paraId="5FCCD8FB" w14:textId="275D889B">
            <w:pPr>
              <w:pStyle w:val="ListParagraph"/>
              <w:numPr>
                <w:ilvl w:val="0"/>
                <w:numId w:val="11"/>
              </w:numPr>
              <w:spacing w:line="259" w:lineRule="auto"/>
              <w:ind w:left="317" w:hanging="284"/>
              <w:rPr>
                <w:rFonts w:ascii="Work Sans" w:hAnsi="Work Sans" w:eastAsia="Work Sans" w:cs="Work Sans"/>
                <w:b w:val="0"/>
                <w:bCs w:val="0"/>
                <w:i w:val="0"/>
                <w:iCs w:val="0"/>
                <w:sz w:val="24"/>
                <w:szCs w:val="24"/>
              </w:rPr>
            </w:pPr>
            <w:r w:rsidRPr="6CC325E2" w:rsidR="6CC325E2">
              <w:rPr>
                <w:rFonts w:ascii="Work Sans" w:hAnsi="Work Sans" w:eastAsia="Work Sans" w:cs="Work Sans"/>
                <w:b w:val="0"/>
                <w:bCs w:val="0"/>
                <w:i w:val="0"/>
                <w:iCs w:val="0"/>
                <w:sz w:val="24"/>
                <w:szCs w:val="24"/>
                <w:lang w:val="en-AU"/>
              </w:rPr>
              <w:t>Complete a mindfulness exercise</w:t>
            </w:r>
          </w:p>
          <w:p w:rsidR="6CC325E2" w:rsidP="6CC325E2" w:rsidRDefault="6CC325E2" w14:paraId="44B06E18" w14:textId="74D1E447">
            <w:pPr>
              <w:pStyle w:val="ListParagraph"/>
              <w:numPr>
                <w:ilvl w:val="0"/>
                <w:numId w:val="11"/>
              </w:numPr>
              <w:spacing w:line="259" w:lineRule="auto"/>
              <w:ind w:left="317" w:hanging="284"/>
              <w:rPr>
                <w:rFonts w:ascii="Work Sans" w:hAnsi="Work Sans" w:eastAsia="Work Sans" w:cs="Work Sans"/>
                <w:b w:val="0"/>
                <w:bCs w:val="0"/>
                <w:i w:val="0"/>
                <w:iCs w:val="0"/>
                <w:sz w:val="24"/>
                <w:szCs w:val="24"/>
              </w:rPr>
            </w:pPr>
            <w:r w:rsidRPr="6CC325E2" w:rsidR="6CC325E2">
              <w:rPr>
                <w:rFonts w:ascii="Work Sans" w:hAnsi="Work Sans" w:eastAsia="Work Sans" w:cs="Work Sans"/>
                <w:b w:val="0"/>
                <w:bCs w:val="0"/>
                <w:i w:val="0"/>
                <w:iCs w:val="0"/>
                <w:sz w:val="24"/>
                <w:szCs w:val="24"/>
                <w:lang w:val="en-AU"/>
              </w:rPr>
              <w:t>Take a break from the work</w:t>
            </w:r>
          </w:p>
          <w:p w:rsidR="6CC325E2" w:rsidP="6CC325E2" w:rsidRDefault="6CC325E2" w14:paraId="79FA9466" w14:textId="1AA27E81">
            <w:pPr>
              <w:pStyle w:val="ListParagraph"/>
              <w:numPr>
                <w:ilvl w:val="0"/>
                <w:numId w:val="11"/>
              </w:numPr>
              <w:spacing w:line="259" w:lineRule="auto"/>
              <w:ind w:left="317" w:hanging="284"/>
              <w:rPr>
                <w:rFonts w:ascii="Work Sans" w:hAnsi="Work Sans" w:eastAsia="Work Sans" w:cs="Work Sans"/>
                <w:b w:val="0"/>
                <w:bCs w:val="0"/>
                <w:i w:val="0"/>
                <w:iCs w:val="0"/>
                <w:sz w:val="24"/>
                <w:szCs w:val="24"/>
              </w:rPr>
            </w:pPr>
            <w:r w:rsidRPr="6CC325E2" w:rsidR="6CC325E2">
              <w:rPr>
                <w:rFonts w:ascii="Work Sans" w:hAnsi="Work Sans" w:eastAsia="Work Sans" w:cs="Work Sans"/>
                <w:b w:val="0"/>
                <w:bCs w:val="0"/>
                <w:i w:val="0"/>
                <w:iCs w:val="0"/>
                <w:sz w:val="24"/>
                <w:szCs w:val="24"/>
                <w:lang w:val="en-AU"/>
              </w:rPr>
              <w:t>Ask peers if you can debrief with them</w:t>
            </w:r>
          </w:p>
          <w:p w:rsidR="6CC325E2" w:rsidP="6CC325E2" w:rsidRDefault="6CC325E2" w14:paraId="5DB809BD" w14:textId="67B074FE">
            <w:pPr>
              <w:pStyle w:val="ListParagraph"/>
              <w:numPr>
                <w:ilvl w:val="0"/>
                <w:numId w:val="11"/>
              </w:numPr>
              <w:spacing w:line="259" w:lineRule="auto"/>
              <w:ind w:left="317" w:hanging="284"/>
              <w:rPr>
                <w:rFonts w:ascii="Work Sans" w:hAnsi="Work Sans" w:eastAsia="Work Sans" w:cs="Work Sans"/>
                <w:b w:val="0"/>
                <w:bCs w:val="0"/>
                <w:i w:val="0"/>
                <w:iCs w:val="0"/>
                <w:sz w:val="24"/>
                <w:szCs w:val="24"/>
              </w:rPr>
            </w:pPr>
            <w:r w:rsidRPr="6CC325E2" w:rsidR="6CC325E2">
              <w:rPr>
                <w:rFonts w:ascii="Work Sans" w:hAnsi="Work Sans" w:eastAsia="Work Sans" w:cs="Work Sans"/>
                <w:b w:val="0"/>
                <w:bCs w:val="0"/>
                <w:i w:val="0"/>
                <w:iCs w:val="0"/>
                <w:sz w:val="24"/>
                <w:szCs w:val="24"/>
                <w:lang w:val="en-AU"/>
              </w:rPr>
              <w:t xml:space="preserve">Inform your organisation </w:t>
            </w:r>
          </w:p>
          <w:p w:rsidR="6CC325E2" w:rsidP="6CC325E2" w:rsidRDefault="6CC325E2" w14:paraId="638CAF47" w14:textId="44AE6100">
            <w:pPr>
              <w:pStyle w:val="ListParagraph"/>
              <w:numPr>
                <w:ilvl w:val="0"/>
                <w:numId w:val="11"/>
              </w:numPr>
              <w:spacing w:line="259" w:lineRule="auto"/>
              <w:ind w:left="317" w:hanging="284"/>
              <w:rPr>
                <w:rFonts w:ascii="Work Sans" w:hAnsi="Work Sans" w:eastAsia="Work Sans" w:cs="Work Sans"/>
                <w:b w:val="0"/>
                <w:bCs w:val="0"/>
                <w:i w:val="0"/>
                <w:iCs w:val="0"/>
                <w:sz w:val="24"/>
                <w:szCs w:val="24"/>
              </w:rPr>
            </w:pPr>
            <w:r w:rsidRPr="6CC325E2" w:rsidR="6CC325E2">
              <w:rPr>
                <w:rFonts w:ascii="Work Sans" w:hAnsi="Work Sans" w:eastAsia="Work Sans" w:cs="Work Sans"/>
                <w:b w:val="0"/>
                <w:bCs w:val="0"/>
                <w:i w:val="0"/>
                <w:iCs w:val="0"/>
                <w:sz w:val="24"/>
                <w:szCs w:val="24"/>
                <w:lang w:val="en-AU"/>
              </w:rPr>
              <w:t>Enact other activities on your self-care plan</w:t>
            </w:r>
          </w:p>
          <w:p w:rsidR="6CC325E2" w:rsidP="6CC325E2" w:rsidRDefault="6CC325E2" w14:paraId="00FBC76A" w14:textId="4C816685">
            <w:pPr>
              <w:pStyle w:val="ListParagraph"/>
              <w:numPr>
                <w:ilvl w:val="0"/>
                <w:numId w:val="11"/>
              </w:numPr>
              <w:spacing w:line="259" w:lineRule="auto"/>
              <w:ind w:left="317" w:hanging="284"/>
              <w:rPr>
                <w:rFonts w:ascii="Work Sans" w:hAnsi="Work Sans" w:eastAsia="Work Sans" w:cs="Work Sans"/>
                <w:b w:val="0"/>
                <w:bCs w:val="0"/>
                <w:i w:val="0"/>
                <w:iCs w:val="0"/>
                <w:sz w:val="24"/>
                <w:szCs w:val="24"/>
              </w:rPr>
            </w:pPr>
            <w:r w:rsidRPr="6CC325E2" w:rsidR="6CC325E2">
              <w:rPr>
                <w:rFonts w:ascii="Work Sans" w:hAnsi="Work Sans" w:eastAsia="Work Sans" w:cs="Work Sans"/>
                <w:b w:val="0"/>
                <w:bCs w:val="0"/>
                <w:i w:val="0"/>
                <w:iCs w:val="0"/>
                <w:sz w:val="24"/>
                <w:szCs w:val="24"/>
                <w:lang w:val="en-AU"/>
              </w:rPr>
              <w:t>Reflect on what happened and reset by thinking about forward actions</w:t>
            </w:r>
          </w:p>
          <w:p w:rsidR="6CC325E2" w:rsidP="6CC325E2" w:rsidRDefault="6CC325E2" w14:paraId="55A7AC66" w14:textId="64CC60BC">
            <w:pPr>
              <w:spacing w:line="259" w:lineRule="auto"/>
              <w:ind w:left="317"/>
              <w:rPr>
                <w:rFonts w:ascii="Work Sans" w:hAnsi="Work Sans" w:eastAsia="Work Sans" w:cs="Work Sans"/>
                <w:b w:val="0"/>
                <w:bCs w:val="0"/>
                <w:i w:val="0"/>
                <w:iCs w:val="0"/>
                <w:sz w:val="24"/>
                <w:szCs w:val="24"/>
              </w:rPr>
            </w:pPr>
          </w:p>
          <w:p w:rsidR="6CC325E2" w:rsidP="6CC325E2" w:rsidRDefault="6CC325E2" w14:paraId="0B537D8E" w14:textId="42042259">
            <w:pPr>
              <w:spacing w:line="259" w:lineRule="auto"/>
              <w:ind w:left="33"/>
              <w:rPr>
                <w:rFonts w:ascii="Work Sans" w:hAnsi="Work Sans" w:eastAsia="Work Sans" w:cs="Work Sans"/>
                <w:b w:val="0"/>
                <w:bCs w:val="0"/>
                <w:i w:val="0"/>
                <w:iCs w:val="0"/>
                <w:sz w:val="24"/>
                <w:szCs w:val="24"/>
              </w:rPr>
            </w:pPr>
            <w:r w:rsidRPr="6CC325E2" w:rsidR="6CC325E2">
              <w:rPr>
                <w:rFonts w:ascii="Work Sans" w:hAnsi="Work Sans" w:eastAsia="Work Sans" w:cs="Work Sans"/>
                <w:b w:val="0"/>
                <w:bCs w:val="0"/>
                <w:i w:val="0"/>
                <w:iCs w:val="0"/>
                <w:sz w:val="24"/>
                <w:szCs w:val="24"/>
                <w:lang w:val="en-AU"/>
              </w:rPr>
              <w:t xml:space="preserve">If you are reading this and have not been affected, you are encouraged to look up techniques that you think will be helpful for you. </w:t>
            </w:r>
          </w:p>
          <w:p w:rsidR="6CC325E2" w:rsidP="6CC325E2" w:rsidRDefault="6CC325E2" w14:paraId="5B4E3E2F" w14:textId="278A04A5">
            <w:pPr>
              <w:spacing w:line="259" w:lineRule="auto"/>
              <w:ind w:left="317"/>
              <w:rPr>
                <w:rFonts w:ascii="Work Sans" w:hAnsi="Work Sans" w:eastAsia="Work Sans" w:cs="Work Sans"/>
                <w:b w:val="0"/>
                <w:bCs w:val="0"/>
                <w:i w:val="0"/>
                <w:iCs w:val="0"/>
                <w:sz w:val="24"/>
                <w:szCs w:val="24"/>
              </w:rPr>
            </w:pPr>
          </w:p>
        </w:tc>
        <w:tc>
          <w:tcPr>
            <w:tcW w:w="6960" w:type="dxa"/>
            <w:tcBorders>
              <w:top w:val="single" w:color="008D97" w:sz="6"/>
              <w:left w:val="single" w:color="008D97" w:sz="6"/>
              <w:bottom w:val="single" w:color="008D97" w:sz="6"/>
              <w:right w:val="single" w:color="008D97" w:sz="6"/>
            </w:tcBorders>
            <w:tcMar>
              <w:left w:w="105" w:type="dxa"/>
              <w:right w:w="105" w:type="dxa"/>
            </w:tcMar>
            <w:vAlign w:val="top"/>
          </w:tcPr>
          <w:p w:rsidR="6CC325E2" w:rsidP="6CC325E2" w:rsidRDefault="6CC325E2" w14:paraId="7A2A4E5C" w14:textId="5FDED873">
            <w:pPr>
              <w:spacing w:line="259" w:lineRule="auto"/>
              <w:rPr>
                <w:rFonts w:ascii="Work Sans" w:hAnsi="Work Sans" w:eastAsia="Work Sans" w:cs="Work Sans"/>
                <w:b w:val="0"/>
                <w:bCs w:val="0"/>
                <w:i w:val="0"/>
                <w:iCs w:val="0"/>
                <w:color w:val="FF0000"/>
                <w:sz w:val="24"/>
                <w:szCs w:val="24"/>
              </w:rPr>
            </w:pPr>
            <w:r w:rsidRPr="6CC325E2" w:rsidR="6CC325E2">
              <w:rPr>
                <w:rFonts w:ascii="Work Sans" w:hAnsi="Work Sans" w:eastAsia="Work Sans" w:cs="Work Sans"/>
                <w:b w:val="1"/>
                <w:bCs w:val="1"/>
                <w:i w:val="0"/>
                <w:iCs w:val="0"/>
                <w:color w:val="008D97"/>
                <w:sz w:val="24"/>
                <w:szCs w:val="24"/>
                <w:lang w:val="en-AU"/>
              </w:rPr>
              <w:t xml:space="preserve">Support and resources available at this </w:t>
            </w:r>
            <w:r w:rsidRPr="6CC325E2" w:rsidR="6CC325E2">
              <w:rPr>
                <w:rFonts w:ascii="Work Sans" w:hAnsi="Work Sans" w:eastAsia="Work Sans" w:cs="Work Sans"/>
                <w:b w:val="1"/>
                <w:bCs w:val="1"/>
                <w:i w:val="0"/>
                <w:iCs w:val="0"/>
                <w:color w:val="FF0000"/>
                <w:sz w:val="24"/>
                <w:szCs w:val="24"/>
                <w:lang w:val="en-AU"/>
              </w:rPr>
              <w:t>&lt;organisation&gt;</w:t>
            </w:r>
          </w:p>
          <w:p w:rsidR="6CC325E2" w:rsidP="6CC325E2" w:rsidRDefault="6CC325E2" w14:paraId="7972237D" w14:textId="21787BF5">
            <w:pPr>
              <w:spacing w:line="259" w:lineRule="auto"/>
              <w:rPr>
                <w:rFonts w:ascii="Work Sans" w:hAnsi="Work Sans" w:eastAsia="Work Sans" w:cs="Work Sans"/>
                <w:b w:val="0"/>
                <w:bCs w:val="0"/>
                <w:i w:val="0"/>
                <w:iCs w:val="0"/>
                <w:sz w:val="24"/>
                <w:szCs w:val="24"/>
              </w:rPr>
            </w:pPr>
          </w:p>
          <w:p w:rsidR="6CC325E2" w:rsidP="6CC325E2" w:rsidRDefault="6CC325E2" w14:paraId="179781C7" w14:textId="296F01C3">
            <w:pPr>
              <w:spacing w:after="160" w:line="259" w:lineRule="auto"/>
              <w:rPr>
                <w:rFonts w:ascii="Work Sans" w:hAnsi="Work Sans" w:eastAsia="Work Sans" w:cs="Work Sans"/>
                <w:b w:val="0"/>
                <w:bCs w:val="0"/>
                <w:i w:val="0"/>
                <w:iCs w:val="0"/>
                <w:color w:val="FF0000"/>
                <w:sz w:val="24"/>
                <w:szCs w:val="24"/>
              </w:rPr>
            </w:pPr>
            <w:r w:rsidRPr="6CC325E2" w:rsidR="6CC325E2">
              <w:rPr>
                <w:rFonts w:ascii="Work Sans" w:hAnsi="Work Sans" w:eastAsia="Work Sans" w:cs="Work Sans"/>
                <w:b w:val="0"/>
                <w:bCs w:val="0"/>
                <w:i w:val="0"/>
                <w:iCs w:val="0"/>
                <w:color w:val="FF0000"/>
                <w:sz w:val="24"/>
                <w:szCs w:val="24"/>
                <w:lang w:val="en-AU"/>
              </w:rPr>
              <w:t>&lt;to be completed by each organisation&gt;</w:t>
            </w:r>
          </w:p>
          <w:p w:rsidR="6CC325E2" w:rsidP="6CC325E2" w:rsidRDefault="6CC325E2" w14:paraId="1A8BE0BA" w14:textId="41431CC8">
            <w:pPr>
              <w:spacing w:after="160" w:line="259" w:lineRule="auto"/>
              <w:rPr>
                <w:rFonts w:ascii="Work Sans" w:hAnsi="Work Sans" w:eastAsia="Work Sans" w:cs="Work Sans"/>
                <w:b w:val="0"/>
                <w:bCs w:val="0"/>
                <w:i w:val="0"/>
                <w:iCs w:val="0"/>
                <w:sz w:val="24"/>
                <w:szCs w:val="24"/>
              </w:rPr>
            </w:pPr>
          </w:p>
          <w:p w:rsidR="6CC325E2" w:rsidP="6CC325E2" w:rsidRDefault="6CC325E2" w14:paraId="7F28A1A7" w14:textId="6489A9A3">
            <w:pPr>
              <w:spacing w:after="160" w:line="259" w:lineRule="auto"/>
              <w:rPr>
                <w:rFonts w:ascii="Work Sans" w:hAnsi="Work Sans" w:eastAsia="Work Sans" w:cs="Work Sans"/>
                <w:b w:val="0"/>
                <w:bCs w:val="0"/>
                <w:i w:val="0"/>
                <w:iCs w:val="0"/>
                <w:sz w:val="24"/>
                <w:szCs w:val="24"/>
              </w:rPr>
            </w:pPr>
          </w:p>
          <w:p w:rsidR="6CC325E2" w:rsidP="6CC325E2" w:rsidRDefault="6CC325E2" w14:paraId="305485BC" w14:textId="6750B81D">
            <w:pPr>
              <w:spacing w:after="160" w:line="259" w:lineRule="auto"/>
              <w:rPr>
                <w:rFonts w:ascii="Work Sans" w:hAnsi="Work Sans" w:eastAsia="Work Sans" w:cs="Work Sans"/>
                <w:b w:val="0"/>
                <w:bCs w:val="0"/>
                <w:i w:val="0"/>
                <w:iCs w:val="0"/>
                <w:sz w:val="24"/>
                <w:szCs w:val="24"/>
              </w:rPr>
            </w:pPr>
          </w:p>
          <w:p w:rsidR="6CC325E2" w:rsidP="6CC325E2" w:rsidRDefault="6CC325E2" w14:paraId="0E7C88A0" w14:textId="5E634422">
            <w:pPr>
              <w:spacing w:after="160" w:line="259" w:lineRule="auto"/>
              <w:rPr>
                <w:rFonts w:ascii="Work Sans" w:hAnsi="Work Sans" w:eastAsia="Work Sans" w:cs="Work Sans"/>
                <w:b w:val="0"/>
                <w:bCs w:val="0"/>
                <w:i w:val="0"/>
                <w:iCs w:val="0"/>
                <w:sz w:val="24"/>
                <w:szCs w:val="24"/>
              </w:rPr>
            </w:pPr>
          </w:p>
          <w:p w:rsidR="6CC325E2" w:rsidP="6CC325E2" w:rsidRDefault="6CC325E2" w14:paraId="58C5850D" w14:textId="03B6EEFF">
            <w:pPr>
              <w:spacing w:after="160" w:line="259" w:lineRule="auto"/>
              <w:rPr>
                <w:rFonts w:ascii="Work Sans" w:hAnsi="Work Sans" w:eastAsia="Work Sans" w:cs="Work Sans"/>
                <w:b w:val="0"/>
                <w:bCs w:val="0"/>
                <w:i w:val="0"/>
                <w:iCs w:val="0"/>
                <w:sz w:val="24"/>
                <w:szCs w:val="24"/>
              </w:rPr>
            </w:pPr>
          </w:p>
          <w:p w:rsidR="6CC325E2" w:rsidP="6CC325E2" w:rsidRDefault="6CC325E2" w14:paraId="680F7AB9" w14:textId="2483552A">
            <w:pPr>
              <w:spacing w:after="160" w:line="259" w:lineRule="auto"/>
              <w:rPr>
                <w:rFonts w:ascii="Work Sans" w:hAnsi="Work Sans" w:eastAsia="Work Sans" w:cs="Work Sans"/>
                <w:b w:val="0"/>
                <w:bCs w:val="0"/>
                <w:i w:val="0"/>
                <w:iCs w:val="0"/>
                <w:sz w:val="24"/>
                <w:szCs w:val="24"/>
              </w:rPr>
            </w:pPr>
          </w:p>
          <w:p w:rsidR="6CC325E2" w:rsidP="6CC325E2" w:rsidRDefault="6CC325E2" w14:paraId="37E86200" w14:textId="46C82E9E">
            <w:pPr>
              <w:spacing w:after="160" w:line="259" w:lineRule="auto"/>
              <w:rPr>
                <w:rFonts w:ascii="Work Sans" w:hAnsi="Work Sans" w:eastAsia="Work Sans" w:cs="Work Sans"/>
                <w:b w:val="0"/>
                <w:bCs w:val="0"/>
                <w:i w:val="0"/>
                <w:iCs w:val="0"/>
                <w:sz w:val="24"/>
                <w:szCs w:val="24"/>
              </w:rPr>
            </w:pPr>
          </w:p>
          <w:p w:rsidR="6CC325E2" w:rsidP="6CC325E2" w:rsidRDefault="6CC325E2" w14:paraId="50CD28F8" w14:textId="08D1DB9B">
            <w:pPr>
              <w:spacing w:after="160" w:line="259" w:lineRule="auto"/>
              <w:rPr>
                <w:rFonts w:ascii="Work Sans" w:hAnsi="Work Sans" w:eastAsia="Work Sans" w:cs="Work Sans"/>
                <w:b w:val="0"/>
                <w:bCs w:val="0"/>
                <w:i w:val="0"/>
                <w:iCs w:val="0"/>
                <w:sz w:val="24"/>
                <w:szCs w:val="24"/>
              </w:rPr>
            </w:pPr>
          </w:p>
          <w:p w:rsidR="6CC325E2" w:rsidP="6CC325E2" w:rsidRDefault="6CC325E2" w14:paraId="00108965" w14:textId="69562B9F">
            <w:pPr>
              <w:spacing w:after="160" w:line="259" w:lineRule="auto"/>
              <w:rPr>
                <w:rFonts w:ascii="Work Sans" w:hAnsi="Work Sans" w:eastAsia="Work Sans" w:cs="Work Sans"/>
                <w:b w:val="0"/>
                <w:bCs w:val="0"/>
                <w:i w:val="0"/>
                <w:iCs w:val="0"/>
                <w:sz w:val="24"/>
                <w:szCs w:val="24"/>
              </w:rPr>
            </w:pPr>
          </w:p>
        </w:tc>
      </w:tr>
    </w:tbl>
    <w:p w:rsidR="6E866057" w:rsidP="6CC325E2" w:rsidRDefault="6E866057" w14:paraId="1D29701B" w14:textId="04B9D6FA">
      <w:pPr>
        <w:spacing w:after="160" w:line="259" w:lineRule="auto"/>
        <w:rPr>
          <w:rFonts w:ascii="Work Sans" w:hAnsi="Work Sans" w:eastAsia="Work Sans" w:cs="Work Sans"/>
          <w:b w:val="0"/>
          <w:bCs w:val="0"/>
          <w:i w:val="0"/>
          <w:iCs w:val="0"/>
          <w:caps w:val="0"/>
          <w:smallCaps w:val="0"/>
          <w:noProof w:val="0"/>
          <w:color w:val="000000" w:themeColor="text1" w:themeTint="FF" w:themeShade="FF"/>
          <w:sz w:val="24"/>
          <w:szCs w:val="24"/>
          <w:lang w:val="en-AU"/>
        </w:rPr>
      </w:pPr>
      <w:r>
        <w:br/>
      </w:r>
      <w:r w:rsidRPr="6CC325E2" w:rsidR="6E866057">
        <w:rPr>
          <w:rFonts w:ascii="Work Sans" w:hAnsi="Work Sans" w:eastAsia="Work Sans" w:cs="Work Sans"/>
          <w:b w:val="0"/>
          <w:bCs w:val="0"/>
          <w:i w:val="1"/>
          <w:iCs w:val="1"/>
          <w:caps w:val="0"/>
          <w:smallCaps w:val="0"/>
          <w:noProof w:val="0"/>
          <w:color w:val="000000" w:themeColor="text1" w:themeTint="FF" w:themeShade="FF"/>
          <w:sz w:val="24"/>
          <w:szCs w:val="24"/>
          <w:lang w:val="en-AU"/>
        </w:rPr>
        <w:t xml:space="preserve">This template was created by Nicola Laurent and Kirsten Wright as part of a project funded through the ICA Programme Commission funding. It was developed in conjunction with the SAE as a response to the recommendations of the report </w:t>
      </w:r>
      <w:hyperlink r:id="R5d5c998f5c5a46cd">
        <w:r w:rsidRPr="6CC325E2" w:rsidR="6E866057">
          <w:rPr>
            <w:rStyle w:val="Hyperlink"/>
            <w:rFonts w:ascii="Work Sans" w:hAnsi="Work Sans" w:eastAsia="Work Sans" w:cs="Work Sans"/>
            <w:b w:val="0"/>
            <w:bCs w:val="0"/>
            <w:i w:val="1"/>
            <w:iCs w:val="1"/>
            <w:caps w:val="0"/>
            <w:smallCaps w:val="0"/>
            <w:strike w:val="0"/>
            <w:dstrike w:val="0"/>
            <w:noProof w:val="0"/>
            <w:sz w:val="24"/>
            <w:szCs w:val="24"/>
            <w:lang w:val="en-AU"/>
          </w:rPr>
          <w:t>Understanding the international landscape of trauma and archives</w:t>
        </w:r>
      </w:hyperlink>
      <w:r w:rsidRPr="6CC325E2" w:rsidR="6E866057">
        <w:rPr>
          <w:rFonts w:ascii="Work Sans" w:hAnsi="Work Sans" w:eastAsia="Work Sans" w:cs="Work Sans"/>
          <w:b w:val="0"/>
          <w:bCs w:val="0"/>
          <w:i w:val="1"/>
          <w:iCs w:val="1"/>
          <w:caps w:val="0"/>
          <w:smallCaps w:val="0"/>
          <w:noProof w:val="0"/>
          <w:color w:val="000000" w:themeColor="text1" w:themeTint="FF" w:themeShade="FF"/>
          <w:sz w:val="24"/>
          <w:szCs w:val="24"/>
          <w:lang w:val="en-AU"/>
        </w:rPr>
        <w:t>.</w:t>
      </w:r>
    </w:p>
    <w:sectPr>
      <w:pgSz w:w="16838" w:h="23811"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0">
    <w:nsid w:val="31bfe5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c4fe8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6ede09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dcc8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864e3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5e9db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6e6c35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aa9da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d181d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12a26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d942c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1d62b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bc160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05810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f7616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9c0be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1832e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6beda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41511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fa6c0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6A8164"/>
    <w:rsid w:val="056A8164"/>
    <w:rsid w:val="49E4614A"/>
    <w:rsid w:val="6CC325E2"/>
    <w:rsid w:val="6E86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8164"/>
  <w15:chartTrackingRefBased/>
  <w15:docId w15:val="{E0DC870A-99D7-4987-8933-7A40C4277C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5d5c998f5c5a46cd" Type="http://schemas.openxmlformats.org/officeDocument/2006/relationships/hyperlink" Target="https://www.ica.org/en/report-understanding-the-international-landscape-of-trauma-and-archives" TargetMode="External"/><Relationship Id="R19fc5731f592401c"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56CE61B303EE40A42FC89FFCEDE7C2" ma:contentTypeVersion="17" ma:contentTypeDescription="Crée un document." ma:contentTypeScope="" ma:versionID="231e3d559ee1f881c41e092501059c63">
  <xsd:schema xmlns:xsd="http://www.w3.org/2001/XMLSchema" xmlns:xs="http://www.w3.org/2001/XMLSchema" xmlns:p="http://schemas.microsoft.com/office/2006/metadata/properties" xmlns:ns2="062c3f5b-00e1-41da-9a4f-777eb8134512" xmlns:ns3="4a925031-d619-4e2e-b5c8-97e8b447f3a3" targetNamespace="http://schemas.microsoft.com/office/2006/metadata/properties" ma:root="true" ma:fieldsID="32cafb61d56b97c16fdf76c496e820e9" ns2:_="" ns3:_="">
    <xsd:import namespace="062c3f5b-00e1-41da-9a4f-777eb8134512"/>
    <xsd:import namespace="4a925031-d619-4e2e-b5c8-97e8b447f3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c3f5b-00e1-41da-9a4f-777eb8134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e26b9d82-4324-4688-9161-8ab31d8ef06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925031-d619-4e2e-b5c8-97e8b447f3a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1a8d5df2-dab8-494c-a5ca-5f36f8170bd1}" ma:internalName="TaxCatchAll" ma:showField="CatchAllData" ma:web="4a925031-d619-4e2e-b5c8-97e8b447f3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2c3f5b-00e1-41da-9a4f-777eb8134512">
      <Terms xmlns="http://schemas.microsoft.com/office/infopath/2007/PartnerControls"/>
    </lcf76f155ced4ddcb4097134ff3c332f>
    <TaxCatchAll xmlns="4a925031-d619-4e2e-b5c8-97e8b447f3a3" xsi:nil="true"/>
  </documentManagement>
</p:properties>
</file>

<file path=customXml/itemProps1.xml><?xml version="1.0" encoding="utf-8"?>
<ds:datastoreItem xmlns:ds="http://schemas.openxmlformats.org/officeDocument/2006/customXml" ds:itemID="{905CF4E8-3065-42CE-8283-94C0474EF38C}"/>
</file>

<file path=customXml/itemProps2.xml><?xml version="1.0" encoding="utf-8"?>
<ds:datastoreItem xmlns:ds="http://schemas.openxmlformats.org/officeDocument/2006/customXml" ds:itemID="{AAB13960-9195-4950-9AB3-C1ACBB55ABBC}"/>
</file>

<file path=customXml/itemProps3.xml><?xml version="1.0" encoding="utf-8"?>
<ds:datastoreItem xmlns:ds="http://schemas.openxmlformats.org/officeDocument/2006/customXml" ds:itemID="{19AD7628-B44C-46C0-BF74-08502A7EC0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Shroyer</dc:creator>
  <cp:keywords/>
  <dc:description/>
  <cp:lastModifiedBy>Renée Shroyer</cp:lastModifiedBy>
  <dcterms:created xsi:type="dcterms:W3CDTF">2023-12-07T17:51:37Z</dcterms:created>
  <dcterms:modified xsi:type="dcterms:W3CDTF">2023-12-07T17:52:51Z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0x0101007A56CE61B303EE40A42FC89FFCEDE7C2</vt:lpwstr>
  </property>
</Properties>
</file>